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78180A" w:rsidP="0078180A">
      <w:pPr>
        <w:pStyle w:val="ConsPlusNormal"/>
        <w:jc w:val="right"/>
        <w:outlineLvl w:val="0"/>
      </w:pPr>
      <w:r>
        <w:t>Приложение 3</w:t>
      </w:r>
    </w:p>
    <w:p w:rsidR="0078180A" w:rsidRDefault="0078180A" w:rsidP="0078180A">
      <w:pPr>
        <w:pStyle w:val="ConsPlusNormal"/>
        <w:jc w:val="right"/>
      </w:pPr>
      <w:r>
        <w:t>к распоряжению Департамента</w:t>
      </w:r>
    </w:p>
    <w:p w:rsidR="0078180A" w:rsidRDefault="0078180A" w:rsidP="0078180A">
      <w:pPr>
        <w:pStyle w:val="ConsPlusNormal"/>
        <w:jc w:val="right"/>
      </w:pPr>
      <w:r>
        <w:t xml:space="preserve">жилищной политики и </w:t>
      </w:r>
      <w:proofErr w:type="gramStart"/>
      <w:r>
        <w:t>жилищного</w:t>
      </w:r>
      <w:proofErr w:type="gramEnd"/>
    </w:p>
    <w:p w:rsidR="0078180A" w:rsidRDefault="0078180A" w:rsidP="0078180A">
      <w:pPr>
        <w:pStyle w:val="ConsPlusNormal"/>
        <w:jc w:val="right"/>
      </w:pPr>
      <w:r>
        <w:t>фонда города Москвы</w:t>
      </w:r>
    </w:p>
    <w:p w:rsidR="0078180A" w:rsidRDefault="0078180A" w:rsidP="0078180A">
      <w:pPr>
        <w:pStyle w:val="ConsPlusNormal"/>
        <w:jc w:val="right"/>
      </w:pPr>
      <w:r>
        <w:t>от 2 июля 2010 г. N 1127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jc w:val="center"/>
      </w:pPr>
      <w:bookmarkStart w:id="0" w:name="Par118"/>
      <w:bookmarkEnd w:id="0"/>
      <w:r>
        <w:t>ОБРАЗЕЦ</w:t>
      </w:r>
    </w:p>
    <w:p w:rsidR="0078180A" w:rsidRDefault="0078180A" w:rsidP="0078180A">
      <w:pPr>
        <w:pStyle w:val="ConsPlusNormal"/>
        <w:jc w:val="center"/>
      </w:pPr>
      <w:r>
        <w:t>РАСПОРЯЖЕНИЯ ДЕПАРТАМЕНТА ЖИЛИЩНОЙ ПОЛИТИКИ</w:t>
      </w:r>
    </w:p>
    <w:p w:rsidR="0078180A" w:rsidRDefault="0078180A" w:rsidP="0078180A">
      <w:pPr>
        <w:pStyle w:val="ConsPlusNormal"/>
        <w:jc w:val="center"/>
      </w:pPr>
      <w:r>
        <w:t>И ЖИЛИЩНОГО ФОНДА ГОРОДА МОСКВЫ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jc w:val="center"/>
      </w:pPr>
      <w:r>
        <w:t xml:space="preserve">О ПОГАШЕНИИ ЧАСТИ ДОЛГА ГРАЖДАНАМ </w:t>
      </w:r>
      <w:proofErr w:type="gramStart"/>
      <w:r>
        <w:t>ЗА</w:t>
      </w:r>
      <w:proofErr w:type="gramEnd"/>
      <w:r>
        <w:t xml:space="preserve"> ПРЕДОСТАВЛЕННЫЕ</w:t>
      </w:r>
    </w:p>
    <w:p w:rsidR="0078180A" w:rsidRDefault="0078180A" w:rsidP="0078180A">
      <w:pPr>
        <w:pStyle w:val="ConsPlusNormal"/>
        <w:jc w:val="center"/>
      </w:pPr>
      <w:r>
        <w:t>ПО ДОГОВОРАМ КУПЛИ-ПРОДАЖИ С РАССРОЧКОЙ ПЛАТЕЖА ЖИЛЫЕ</w:t>
      </w:r>
    </w:p>
    <w:p w:rsidR="0078180A" w:rsidRDefault="0078180A" w:rsidP="0078180A">
      <w:pPr>
        <w:pStyle w:val="ConsPlusNormal"/>
        <w:jc w:val="center"/>
      </w:pPr>
      <w:r>
        <w:t>ПОМЕЩЕНИЯ В СВЯЗИ С ПЕРЕЧИСЛЕНИЕМ СРЕДСТВ (ЧАСТИ СРЕДСТВ)</w:t>
      </w:r>
    </w:p>
    <w:p w:rsidR="0078180A" w:rsidRDefault="0078180A" w:rsidP="0078180A">
      <w:pPr>
        <w:pStyle w:val="ConsPlusNormal"/>
        <w:jc w:val="center"/>
      </w:pPr>
      <w:r>
        <w:t>МАТЕРИНСКОГО (СЕМЕЙНОГО) КАПИТАЛА В ДОХОД БЮДЖЕТА</w:t>
      </w:r>
    </w:p>
    <w:p w:rsidR="0078180A" w:rsidRDefault="0078180A" w:rsidP="0078180A">
      <w:pPr>
        <w:pStyle w:val="ConsPlusNormal"/>
        <w:jc w:val="center"/>
      </w:pPr>
      <w:r>
        <w:t>ГОРОДА МОСКВЫ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  <w:proofErr w:type="gramStart"/>
      <w:r>
        <w:t>На основании постановления Правительства Российской Федерации от 12.12.2007 N 862 "О Правилах направления средств (части средств) материнского (семейного) капитала на улучшение жилищных условий", распоряжения Департамента жилищной политики и жилищного фонда города Москвы от 05.03.2010 N 262 "О внесении изменений в распоряжение Департамента жилищной политики и жилищного фонда города Москвы от 11.12.2009 N 2351":</w:t>
      </w:r>
      <w:proofErr w:type="gramEnd"/>
    </w:p>
    <w:p w:rsidR="0078180A" w:rsidRDefault="0078180A" w:rsidP="0078180A">
      <w:pPr>
        <w:pStyle w:val="ConsPlusNormal"/>
        <w:ind w:firstLine="540"/>
        <w:jc w:val="both"/>
      </w:pPr>
      <w:r>
        <w:t>Уполномоченной организации произвести пересчет части долга по выкупной стоимости квартиры и процентов за рассрочку платежа гражданам в соответствии с размером средств (части средств) материнского (семейного) капитала, перечисленных в доход бюджета города Москвы, согласно списку N ____ о погашении части долга.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  <w:r>
        <w:t xml:space="preserve">Приложение. </w:t>
      </w:r>
      <w:r>
        <w:rPr/>
        <w:t>Список</w:t>
      </w:r>
      <w:r>
        <w:t xml:space="preserve"> N ____ граждан на погашение части долга по выкупной стоимости квартиры и процентов за рассрочку платежа в связи с перечислением средств (части средств) материнского (семейного) капитала в доход бюджета города Москвы на ____ листах.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jc w:val="right"/>
      </w:pPr>
      <w:r>
        <w:t>Руководитель</w:t>
      </w:r>
    </w:p>
    <w:p w:rsidR="0078180A" w:rsidRDefault="0078180A" w:rsidP="0078180A">
      <w:pPr>
        <w:pStyle w:val="ConsPlusNormal"/>
        <w:jc w:val="right"/>
      </w:pPr>
      <w:r>
        <w:t>П.В. Сапрыкин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jc w:val="center"/>
        <w:outlineLvl w:val="1"/>
      </w:pPr>
      <w:bookmarkStart w:id="1" w:name="Par140"/>
      <w:bookmarkEnd w:id="1"/>
      <w:r>
        <w:t>СПИСОК N ____</w:t>
      </w:r>
    </w:p>
    <w:p w:rsidR="0078180A" w:rsidRDefault="0078180A" w:rsidP="0078180A">
      <w:pPr>
        <w:pStyle w:val="ConsPlusNormal"/>
        <w:jc w:val="center"/>
      </w:pPr>
      <w:r>
        <w:t xml:space="preserve">ГРАЖДАН НА ПОГАШЕНИЕ ЧАСТИ ДОЛГА </w:t>
      </w:r>
      <w:proofErr w:type="gramStart"/>
      <w:r>
        <w:t>ПО</w:t>
      </w:r>
      <w:proofErr w:type="gramEnd"/>
      <w:r>
        <w:t xml:space="preserve"> ВЫКУПНОЙ</w:t>
      </w:r>
    </w:p>
    <w:p w:rsidR="0078180A" w:rsidRDefault="0078180A" w:rsidP="0078180A">
      <w:pPr>
        <w:pStyle w:val="ConsPlusNormal"/>
        <w:jc w:val="center"/>
      </w:pPr>
      <w:r>
        <w:t>СТОИМОСТИ КВАРТИРЫ И ПРОЦЕНТОВ ЗА РАССРОЧКУ ПЛАТЕЖА В СВЯЗИ</w:t>
      </w:r>
    </w:p>
    <w:p w:rsidR="0078180A" w:rsidRDefault="0078180A" w:rsidP="0078180A">
      <w:pPr>
        <w:pStyle w:val="ConsPlusNormal"/>
        <w:jc w:val="center"/>
      </w:pPr>
      <w:r>
        <w:t xml:space="preserve">С ПЕРЕЧИСЛЕНИЕМ СРЕДСТВ (ЧАСТИ СРЕДСТВ) </w:t>
      </w:r>
      <w:proofErr w:type="gramStart"/>
      <w:r>
        <w:t>МАТЕРИНСКОГО</w:t>
      </w:r>
      <w:proofErr w:type="gramEnd"/>
    </w:p>
    <w:p w:rsidR="0078180A" w:rsidRDefault="0078180A" w:rsidP="0078180A">
      <w:pPr>
        <w:pStyle w:val="ConsPlusNormal"/>
        <w:jc w:val="center"/>
      </w:pPr>
      <w:r>
        <w:t>(СЕМЕЙНОГО) КАПИТАЛА В ДОХОД БЮДЖЕТА ГОРОДА МОСКВЫ</w:t>
      </w:r>
    </w:p>
    <w:p w:rsidR="0078180A" w:rsidRDefault="0078180A" w:rsidP="0078180A">
      <w:pPr>
        <w:pStyle w:val="ConsPlusNormal"/>
        <w:jc w:val="center"/>
      </w:pPr>
      <w:r>
        <w:t>"__" ______ 20__ Г.</w:t>
      </w:r>
    </w:p>
    <w:p w:rsidR="0078180A" w:rsidRDefault="0078180A" w:rsidP="0078180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755"/>
        <w:gridCol w:w="1872"/>
        <w:gridCol w:w="1404"/>
        <w:gridCol w:w="1638"/>
        <w:gridCol w:w="1755"/>
      </w:tblGrid>
      <w:tr w:rsidR="0078180A" w:rsidTr="003D251D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Ф.И.О.   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гражданина,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состав семьи </w:t>
            </w:r>
          </w:p>
          <w:p w:rsidR="0078180A" w:rsidRDefault="0078180A" w:rsidP="003D251D">
            <w:pPr>
              <w:pStyle w:val="ConsPlusNonformat"/>
              <w:jc w:val="both"/>
            </w:pPr>
            <w:proofErr w:type="gramStart"/>
            <w:r>
              <w:t xml:space="preserve">(Ф.И.О.,     </w:t>
            </w:r>
            <w:proofErr w:type="gramEnd"/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родственные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отношения)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Документы,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>удостоверяющие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личность  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гражданина и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членов его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семьи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Реквизиты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договора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купли-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продажи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>рассрочкой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платежа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>Размер долга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по выкупной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стоимости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квартиры и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процентов </w:t>
            </w:r>
            <w:proofErr w:type="gramStart"/>
            <w:r>
              <w:t>за</w:t>
            </w:r>
            <w:proofErr w:type="gramEnd"/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рассрочку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платежа,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подлежащий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погашению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(руб.)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Остаток  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>невыплаченной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стоимости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жилого   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помещения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после его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погашения    </w:t>
            </w:r>
          </w:p>
          <w:p w:rsidR="0078180A" w:rsidRDefault="0078180A" w:rsidP="003D251D">
            <w:pPr>
              <w:pStyle w:val="ConsPlusNonformat"/>
              <w:jc w:val="both"/>
            </w:pPr>
            <w:r>
              <w:t xml:space="preserve">(руб.)       </w:t>
            </w:r>
          </w:p>
        </w:tc>
      </w:tr>
      <w:tr w:rsidR="0078180A" w:rsidTr="003D251D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78180A" w:rsidTr="003D251D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</w:tr>
      <w:tr w:rsidR="0078180A" w:rsidTr="003D251D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</w:tr>
      <w:tr w:rsidR="0078180A" w:rsidTr="003D251D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  <w:r>
              <w:t xml:space="preserve">ИТОГО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0A" w:rsidRDefault="0078180A" w:rsidP="003D251D">
            <w:pPr>
              <w:pStyle w:val="ConsPlusNonformat"/>
              <w:jc w:val="both"/>
            </w:pPr>
          </w:p>
        </w:tc>
      </w:tr>
    </w:tbl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jc w:val="right"/>
      </w:pPr>
      <w:r>
        <w:lastRenderedPageBreak/>
        <w:t>Руководитель Департамента</w:t>
      </w:r>
    </w:p>
    <w:p w:rsidR="0078180A" w:rsidRDefault="0078180A" w:rsidP="0078180A">
      <w:pPr>
        <w:pStyle w:val="ConsPlusNormal"/>
        <w:jc w:val="right"/>
      </w:pPr>
      <w:r>
        <w:t xml:space="preserve">жилищной политики и </w:t>
      </w:r>
      <w:proofErr w:type="gramStart"/>
      <w:r>
        <w:t>жилищного</w:t>
      </w:r>
      <w:proofErr w:type="gramEnd"/>
    </w:p>
    <w:p w:rsidR="0078180A" w:rsidRDefault="0078180A" w:rsidP="0078180A">
      <w:pPr>
        <w:pStyle w:val="ConsPlusNormal"/>
        <w:jc w:val="right"/>
      </w:pPr>
      <w:r>
        <w:t>фонда города Москвы</w:t>
      </w:r>
    </w:p>
    <w:p w:rsidR="0078180A" w:rsidRDefault="0078180A" w:rsidP="0078180A">
      <w:pPr>
        <w:pStyle w:val="ConsPlusNormal"/>
        <w:jc w:val="right"/>
      </w:pPr>
      <w:r>
        <w:t>П.В. Сапрыкин</w:t>
      </w:r>
    </w:p>
    <w:p w:rsidR="0078180A" w:rsidRDefault="0078180A" w:rsidP="0078180A">
      <w:pPr>
        <w:pStyle w:val="ConsPlusNormal"/>
        <w:ind w:firstLine="540"/>
        <w:jc w:val="both"/>
      </w:pPr>
    </w:p>
    <w:p w:rsidR="0078180A" w:rsidRDefault="0078180A" w:rsidP="0078180A">
      <w:pPr>
        <w:pStyle w:val="ConsPlusNormal"/>
        <w:ind w:firstLine="540"/>
        <w:jc w:val="both"/>
      </w:pPr>
    </w:p>
    <w:p w:rsidR="00553A31" w:rsidRDefault="00553A31">
      <w:bookmarkStart w:id="2" w:name="_GoBack"/>
      <w:bookmarkEnd w:id="2"/>
    </w:p>
    <w:sectPr w:rsidR="0055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A"/>
    <w:rsid w:val="00553A31"/>
    <w:rsid w:val="007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1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1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1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1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2015-12-26T14:59:00Z</dcterms:created>
  <dcterms:modified xsi:type="dcterms:W3CDTF">2015-12-26T15:00:00Z</dcterms:modified>
</cp:coreProperties>
</file>